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left"/>
      </w:pPr>
      <w:r>
        <w:rPr>
          <w:rFonts w:ascii="Times New Roman" w:hAnsi="Times New Roman" w:eastAsia="Times New Roman"/>
          <w:b w:val="0"/>
          <w:i w:val="0"/>
          <w:sz w:val="22"/>
        </w:rPr>
        <w:t>УДК 669.715; 004.85</w:t>
      </w:r>
    </w:p>
    <w:p>
      <w:pPr>
        <w:spacing w:before="100" w:after="60" w:line="240" w:lineRule="auto"/>
        <w:jc w:val="center"/>
      </w:pPr>
      <w:r>
        <w:rPr>
          <w:rFonts w:ascii="Times New Roman" w:hAnsi="Times New Roman" w:eastAsia="Times New Roman"/>
          <w:b/>
          <w:i w:val="0"/>
          <w:sz w:val="28"/>
        </w:rPr>
        <w:t>ФОРМУВАННЯ ПІДХОДУ ДО БАГАТОЦІЛЬОВОГО ПРОГНОЗУВАННЯ</w:t>
        <w:br/>
        <w:t>МЕХАНІЧНИХ ВЛАСТИВОСТЕЙ АЛЮМІНІЄВИХ СПЛАВІВ НА ОСНОВІ</w:t>
        <w:br/>
        <w:t>ІНТЕГРОВАНОГО ОЗНАКОВОГО ПРОСТОРУ</w:t>
      </w:r>
    </w:p>
    <w:p>
      <w:pPr>
        <w:spacing w:before="0" w:after="40" w:line="240" w:lineRule="auto"/>
        <w:jc w:val="center"/>
      </w:pPr>
      <w:r>
        <w:rPr>
          <w:rFonts w:ascii="Times New Roman" w:hAnsi="Times New Roman" w:eastAsia="Times New Roman"/>
          <w:b/>
          <w:i w:val="0"/>
          <w:sz w:val="24"/>
        </w:rPr>
        <w:t>К.М. Брежнєв¹, З.В. Сазанішвілі²</w:t>
      </w:r>
    </w:p>
    <w:p>
      <w:pPr>
        <w:spacing w:before="0" w:after="0" w:line="240" w:lineRule="auto"/>
        <w:jc w:val="center"/>
      </w:pPr>
      <w:r>
        <w:rPr>
          <w:rFonts w:ascii="Times New Roman" w:hAnsi="Times New Roman" w:eastAsia="Times New Roman"/>
          <w:b w:val="0"/>
          <w:i w:val="0"/>
          <w:sz w:val="21"/>
        </w:rPr>
        <w:t>¹аспірант, група МЗа-25-10, e-mail: brezhniev.k.m@nmu.one</w:t>
      </w:r>
    </w:p>
    <w:p>
      <w:pPr>
        <w:spacing w:before="0" w:after="0" w:line="240" w:lineRule="auto"/>
        <w:jc w:val="center"/>
      </w:pPr>
      <w:r>
        <w:rPr>
          <w:rFonts w:ascii="Times New Roman" w:hAnsi="Times New Roman" w:eastAsia="Times New Roman"/>
          <w:b w:val="0"/>
          <w:i w:val="0"/>
          <w:sz w:val="21"/>
        </w:rPr>
        <w:t>²к.т.н., доцент, e-mail: sazanishvili.z.v@nmu.one</w:t>
      </w:r>
    </w:p>
    <w:p>
      <w:pPr>
        <w:spacing w:before="0" w:after="0" w:line="240" w:lineRule="auto"/>
        <w:jc w:val="center"/>
      </w:pPr>
      <w:r>
        <w:rPr>
          <w:rFonts w:ascii="Times New Roman" w:hAnsi="Times New Roman" w:eastAsia="Times New Roman"/>
          <w:b w:val="0"/>
          <w:i w:val="0"/>
          <w:sz w:val="21"/>
        </w:rPr>
        <w:t>¹˒²кафедра конструювання, технічної естетики і дизайну, Національний технічний університет «Дніпровська політехніка», Дніпро, Україна</w:t>
      </w:r>
    </w:p>
    <w:p>
      <w:pPr>
        <w:spacing w:before="80" w:after="0" w:line="240" w:lineRule="auto"/>
        <w:ind w:firstLine="567"/>
        <w:jc w:val="both"/>
      </w:pPr>
      <w:r>
        <w:rPr>
          <w:rFonts w:ascii="Times New Roman" w:hAnsi="Times New Roman" w:eastAsia="Times New Roman"/>
          <w:b/>
          <w:i w:val="0"/>
          <w:sz w:val="22"/>
        </w:rPr>
        <w:t>Анотація.</w:t>
      </w:r>
      <w:r>
        <w:rPr>
          <w:rFonts w:ascii="Times New Roman" w:hAnsi="Times New Roman" w:eastAsia="Times New Roman"/>
          <w:b w:val="0"/>
          <w:i w:val="0"/>
          <w:sz w:val="22"/>
        </w:rPr>
        <w:t xml:space="preserve"> У роботі розглянуто проблему прогнозування механічних властивостей деформівних алюмінієвих сплавів — межі текучості, тимчасового опору розриву та відносного подовження — на основі хімічного складу, технологічних і мікроструктурних параметрів із застосуванням нейронних мереж. Узагальнено закономірності формування механічних властивостей за основними серіями сплавів та обґрунтовано необхідність інтеграції різнорідних ознак у єдиному прогностичному просторі.</w:t>
      </w:r>
    </w:p>
    <w:p>
      <w:pPr>
        <w:spacing w:before="0" w:after="0" w:line="240" w:lineRule="auto"/>
        <w:ind w:firstLine="567"/>
        <w:jc w:val="both"/>
      </w:pPr>
      <w:r>
        <w:rPr>
          <w:rFonts w:ascii="Times New Roman" w:hAnsi="Times New Roman" w:eastAsia="Times New Roman"/>
          <w:b/>
          <w:i/>
          <w:sz w:val="22"/>
        </w:rPr>
        <w:t>Ключові слова:</w:t>
      </w:r>
      <w:r>
        <w:rPr>
          <w:rFonts w:ascii="Times New Roman" w:hAnsi="Times New Roman" w:eastAsia="Times New Roman"/>
          <w:b w:val="0"/>
          <w:i/>
          <w:sz w:val="22"/>
        </w:rPr>
        <w:t xml:space="preserve"> алюмінієві сплави, механічні властивості, нейронні мережі, машинне навчання, матеріалознавча інформатика, прогнозування властивостей.</w:t>
      </w:r>
    </w:p>
    <w:p>
      <w:pPr>
        <w:spacing w:before="100" w:after="40" w:line="240" w:lineRule="auto"/>
        <w:jc w:val="center"/>
      </w:pPr>
      <w:r>
        <w:rPr>
          <w:rFonts w:ascii="Times New Roman" w:hAnsi="Times New Roman" w:eastAsia="Times New Roman"/>
          <w:b/>
          <w:i w:val="0"/>
          <w:sz w:val="24"/>
        </w:rPr>
        <w:t>DEVELOPMENT OF AN APPROACH TO MULTIPURPOSE PREDICTION OF THE</w:t>
        <w:br/>
        <w:t>MECHANICAL PROPERTIES OF ALUMINUM ALLOYS BASED ON AN</w:t>
        <w:br/>
        <w:t>INTEGRATED FEATURE SPACE</w:t>
      </w:r>
    </w:p>
    <w:p>
      <w:pPr>
        <w:spacing w:before="0" w:after="0" w:line="240" w:lineRule="auto"/>
        <w:jc w:val="center"/>
      </w:pPr>
      <w:r>
        <w:rPr>
          <w:rFonts w:ascii="Times New Roman" w:hAnsi="Times New Roman" w:eastAsia="Times New Roman"/>
          <w:b/>
          <w:i w:val="0"/>
          <w:sz w:val="22"/>
        </w:rPr>
        <w:t>Kyrylo Brezhniev¹, Zoia Sazanishvili²</w:t>
      </w:r>
    </w:p>
    <w:p>
      <w:pPr>
        <w:spacing w:before="0" w:after="0" w:line="240" w:lineRule="auto"/>
        <w:jc w:val="center"/>
      </w:pPr>
      <w:r>
        <w:rPr>
          <w:rFonts w:ascii="Times New Roman" w:hAnsi="Times New Roman" w:eastAsia="Times New Roman"/>
          <w:b w:val="0"/>
          <w:i w:val="0"/>
          <w:sz w:val="20"/>
        </w:rPr>
        <w:t>¹Postgraduate student, group MZa-25-10, e-mail: brezhniev.k.m@nmu.one</w:t>
      </w:r>
    </w:p>
    <w:p>
      <w:pPr>
        <w:spacing w:before="0" w:after="0" w:line="240" w:lineRule="auto"/>
        <w:jc w:val="center"/>
      </w:pPr>
      <w:r>
        <w:rPr>
          <w:rFonts w:ascii="Times New Roman" w:hAnsi="Times New Roman" w:eastAsia="Times New Roman"/>
          <w:b w:val="0"/>
          <w:i w:val="0"/>
          <w:sz w:val="20"/>
        </w:rPr>
        <w:t>²Ph.D., Associate Professor, e-mail: sazanishvili.z.v@nmu.one</w:t>
      </w:r>
    </w:p>
    <w:p>
      <w:pPr>
        <w:spacing w:before="0" w:after="0" w:line="240" w:lineRule="auto"/>
        <w:jc w:val="center"/>
      </w:pPr>
      <w:r>
        <w:rPr>
          <w:rFonts w:ascii="Times New Roman" w:hAnsi="Times New Roman" w:eastAsia="Times New Roman"/>
          <w:b w:val="0"/>
          <w:i w:val="0"/>
          <w:sz w:val="20"/>
        </w:rPr>
        <w:t>¹˒²Department of Engineering and Generative Design, Dnipro University of Technology, Dnipro, Ukraine</w:t>
      </w:r>
    </w:p>
    <w:p>
      <w:pPr>
        <w:spacing w:before="40" w:after="0" w:line="240" w:lineRule="auto"/>
        <w:ind w:firstLine="567"/>
        <w:jc w:val="both"/>
      </w:pPr>
      <w:r>
        <w:rPr>
          <w:rFonts w:ascii="Times New Roman" w:hAnsi="Times New Roman" w:eastAsia="Times New Roman"/>
          <w:b/>
          <w:i w:val="0"/>
          <w:sz w:val="21"/>
        </w:rPr>
        <w:t>Abstract.</w:t>
      </w:r>
      <w:r>
        <w:rPr>
          <w:rFonts w:ascii="Times New Roman" w:hAnsi="Times New Roman" w:eastAsia="Times New Roman"/>
          <w:b w:val="0"/>
          <w:i w:val="0"/>
          <w:sz w:val="21"/>
        </w:rPr>
        <w:t xml:space="preserve"> The paper addresses the prediction of the mechanical properties of wrought aluminum alloys — yield strength, ultimate tensile strength and elongation — from chemical, technological and microstructural parameters using neural networks. The approach is aimed at creating an integrated feature space for multi-target prediction and interpretable analysis of the obtained results.</w:t>
      </w:r>
    </w:p>
    <w:p>
      <w:pPr>
        <w:spacing w:before="0" w:after="0" w:line="240" w:lineRule="auto"/>
        <w:ind w:firstLine="567"/>
        <w:jc w:val="both"/>
      </w:pPr>
      <w:r>
        <w:rPr>
          <w:rFonts w:ascii="Times New Roman" w:hAnsi="Times New Roman" w:eastAsia="Times New Roman"/>
          <w:b/>
          <w:i/>
          <w:sz w:val="21"/>
        </w:rPr>
        <w:t>Keywords:</w:t>
      </w:r>
      <w:r>
        <w:rPr>
          <w:rFonts w:ascii="Times New Roman" w:hAnsi="Times New Roman" w:eastAsia="Times New Roman"/>
          <w:b w:val="0"/>
          <w:i/>
          <w:sz w:val="21"/>
        </w:rPr>
        <w:t xml:space="preserve"> aluminum alloys, mechanical properties, neural networks, machine learning, materials informatics, property prediction.</w:t>
      </w:r>
    </w:p>
    <w:p>
      <w:pPr>
        <w:spacing w:before="100" w:after="0" w:line="240" w:lineRule="auto"/>
        <w:ind w:firstLine="567"/>
        <w:jc w:val="both"/>
      </w:pPr>
      <w:r>
        <w:rPr>
          <w:rFonts w:ascii="Times New Roman" w:hAnsi="Times New Roman" w:eastAsia="Times New Roman"/>
          <w:b/>
          <w:i w:val="0"/>
          <w:sz w:val="24"/>
        </w:rPr>
        <w:t>Вступ.</w:t>
      </w:r>
      <w:r>
        <w:rPr>
          <w:rFonts w:ascii="Times New Roman" w:hAnsi="Times New Roman" w:eastAsia="Times New Roman"/>
          <w:b w:val="0"/>
          <w:i w:val="0"/>
          <w:sz w:val="24"/>
        </w:rPr>
        <w:t xml:space="preserve"> В умовах переходу матеріалознавства до концепції «цифрового матеріалу» зростає потреба у надійних методах прискореної оцінки механічних властивостей без проведення тривалих і ресурсоємних випробувань. Алюмінієві сплави є важливим класом конструкційних матеріалів, властивості яких визначаються складною взаємодією хімічного складу, фазового стану та режимів обробки. Це ускладнює побудову універсальних аналітичних залежностей і зумовлює використання методів матеріалознавчої інформатики та машинного навчання [1, 2].</w:t>
      </w:r>
    </w:p>
    <w:p>
      <w:pPr>
        <w:spacing w:before="40" w:after="0" w:line="240" w:lineRule="auto"/>
        <w:ind w:firstLine="567"/>
        <w:jc w:val="both"/>
      </w:pPr>
      <w:r>
        <w:rPr>
          <w:rFonts w:ascii="Times New Roman" w:hAnsi="Times New Roman" w:eastAsia="Times New Roman"/>
          <w:b/>
          <w:i w:val="0"/>
          <w:sz w:val="24"/>
        </w:rPr>
        <w:t>Мета роботи.</w:t>
      </w:r>
      <w:r>
        <w:rPr>
          <w:rFonts w:ascii="Times New Roman" w:hAnsi="Times New Roman" w:eastAsia="Times New Roman"/>
          <w:b w:val="0"/>
          <w:i w:val="0"/>
          <w:sz w:val="24"/>
        </w:rPr>
        <w:t xml:space="preserve"> Системний аналіз підходів до прогнозування механічних властивостей алюмінієвих сплавів та обґрунтування постановки задачі розробки багатоцільової нейромережевої моделі на основі інтегрованого ознакового простору хімічних, технологічних і мікроструктурних параметрів.</w:t>
      </w:r>
    </w:p>
    <w:p>
      <w:pPr>
        <w:spacing w:before="40" w:after="0" w:line="240" w:lineRule="auto"/>
        <w:ind w:firstLine="567"/>
        <w:jc w:val="both"/>
      </w:pPr>
      <w:r>
        <w:rPr>
          <w:rFonts w:ascii="Times New Roman" w:hAnsi="Times New Roman" w:eastAsia="Times New Roman"/>
          <w:b/>
          <w:i w:val="0"/>
          <w:sz w:val="24"/>
        </w:rPr>
        <w:t>Матеріал і результати досліджень.</w:t>
      </w:r>
      <w:r>
        <w:rPr>
          <w:rFonts w:ascii="Times New Roman" w:hAnsi="Times New Roman" w:eastAsia="Times New Roman"/>
          <w:b w:val="0"/>
          <w:i w:val="0"/>
          <w:sz w:val="24"/>
        </w:rPr>
        <w:t xml:space="preserve"> Деформівні алюмінієві сплави класифікуються за системою Aluminum Association. Основні серії сплавів та характерні діапазони механічних властивостей наведено в табл. 1. Така класифікація дозволяє пов’язати склад сплаву з домінуючими механізмами зміцнення та визначити інформативні параметри для побудови прогностичної моделі.</w:t>
      </w:r>
    </w:p>
    <w:p>
      <w:pPr>
        <w:keepNext/>
        <w:spacing w:before="80" w:after="60" w:line="240" w:lineRule="auto"/>
        <w:jc w:val="left"/>
      </w:pPr>
      <w:r>
        <w:rPr>
          <w:rFonts w:ascii="Times New Roman" w:hAnsi="Times New Roman" w:eastAsia="Times New Roman"/>
          <w:b/>
          <w:i w:val="0"/>
          <w:sz w:val="22"/>
        </w:rPr>
        <w:t>Таблиця 1 – Серії деформівних алюмінієвих сплавів і типові діапазони механічних властивостей</w:t>
      </w:r>
    </w:p>
    <w:tbl>
      <w:tblPr>
        <w:tblW w:type="auto" w:w="0"/>
        <w:jc w:val="center"/>
        <w:tblLayout w:type="fixed"/>
        <w:tblLook w:firstColumn="1" w:firstRow="1" w:lastColumn="0" w:lastRow="0" w:noHBand="0" w:noVBand="1" w:val="04A0"/>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Pr>
      <w:tblGrid>
        <w:gridCol w:w="1606"/>
        <w:gridCol w:w="1606"/>
        <w:gridCol w:w="1606"/>
        <w:gridCol w:w="1606"/>
        <w:gridCol w:w="1606"/>
        <w:gridCol w:w="1606"/>
      </w:tblGrid>
      <w:tr>
        <w:trPr>
          <w:tblHeader w:val="true"/>
        </w:trPr>
        <w:tc>
          <w:tcPr>
            <w:tcW w:type="dxa" w:w="850"/>
            <w:shd w:fill="EDEDED"/>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i w:val="0"/>
                <w:sz w:val="19"/>
              </w:rPr>
              <w:t>Серія</w:t>
            </w:r>
          </w:p>
        </w:tc>
        <w:tc>
          <w:tcPr>
            <w:tcW w:type="dxa" w:w="2438"/>
            <w:shd w:fill="EDEDED"/>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i w:val="0"/>
                <w:sz w:val="19"/>
              </w:rPr>
              <w:t>Основний легуючий елемент</w:t>
            </w:r>
          </w:p>
        </w:tc>
        <w:tc>
          <w:tcPr>
            <w:tcW w:type="dxa" w:w="1417"/>
            <w:shd w:fill="EDEDED"/>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i w:val="0"/>
                <w:sz w:val="19"/>
              </w:rPr>
              <w:t>σ₀.₂, МПа</w:t>
            </w:r>
          </w:p>
        </w:tc>
        <w:tc>
          <w:tcPr>
            <w:tcW w:type="dxa" w:w="1304"/>
            <w:shd w:fill="EDEDED"/>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i w:val="0"/>
                <w:sz w:val="19"/>
              </w:rPr>
              <w:t>σB, МПа</w:t>
            </w:r>
          </w:p>
        </w:tc>
        <w:tc>
          <w:tcPr>
            <w:tcW w:type="dxa" w:w="964"/>
            <w:shd w:fill="EDEDED"/>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i w:val="0"/>
                <w:sz w:val="19"/>
              </w:rPr>
              <w:t>δ, %</w:t>
            </w:r>
          </w:p>
        </w:tc>
        <w:tc>
          <w:tcPr>
            <w:tcW w:type="dxa" w:w="1020"/>
            <w:shd w:fill="EDEDED"/>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i w:val="0"/>
                <w:sz w:val="19"/>
              </w:rPr>
              <w:t>HB</w:t>
            </w:r>
          </w:p>
        </w:tc>
      </w:tr>
      <w:tr>
        <w:tc>
          <w:tcPr>
            <w:tcW w:type="dxa" w:w="85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1xxx</w:t>
            </w:r>
          </w:p>
        </w:tc>
        <w:tc>
          <w:tcPr>
            <w:tcW w:type="dxa" w:w="2438"/>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≥99 % Al</w:t>
            </w:r>
          </w:p>
        </w:tc>
        <w:tc>
          <w:tcPr>
            <w:tcW w:type="dxa" w:w="1417"/>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15–105</w:t>
            </w:r>
          </w:p>
        </w:tc>
        <w:tc>
          <w:tcPr>
            <w:tcW w:type="dxa" w:w="130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60–180</w:t>
            </w:r>
          </w:p>
        </w:tc>
        <w:tc>
          <w:tcPr>
            <w:tcW w:type="dxa" w:w="96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15–45</w:t>
            </w:r>
          </w:p>
        </w:tc>
        <w:tc>
          <w:tcPr>
            <w:tcW w:type="dxa" w:w="102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15–40</w:t>
            </w:r>
          </w:p>
        </w:tc>
      </w:tr>
      <w:tr>
        <w:tc>
          <w:tcPr>
            <w:tcW w:type="dxa" w:w="85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2xxx</w:t>
            </w:r>
          </w:p>
        </w:tc>
        <w:tc>
          <w:tcPr>
            <w:tcW w:type="dxa" w:w="2438"/>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Cu</w:t>
            </w:r>
          </w:p>
        </w:tc>
        <w:tc>
          <w:tcPr>
            <w:tcW w:type="dxa" w:w="1417"/>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275–490</w:t>
            </w:r>
          </w:p>
        </w:tc>
        <w:tc>
          <w:tcPr>
            <w:tcW w:type="dxa" w:w="130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370–550</w:t>
            </w:r>
          </w:p>
        </w:tc>
        <w:tc>
          <w:tcPr>
            <w:tcW w:type="dxa" w:w="96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5–22</w:t>
            </w:r>
          </w:p>
        </w:tc>
        <w:tc>
          <w:tcPr>
            <w:tcW w:type="dxa" w:w="102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90–150</w:t>
            </w:r>
          </w:p>
        </w:tc>
      </w:tr>
      <w:tr>
        <w:tc>
          <w:tcPr>
            <w:tcW w:type="dxa" w:w="85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3xxx</w:t>
            </w:r>
          </w:p>
        </w:tc>
        <w:tc>
          <w:tcPr>
            <w:tcW w:type="dxa" w:w="2438"/>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Mn</w:t>
            </w:r>
          </w:p>
        </w:tc>
        <w:tc>
          <w:tcPr>
            <w:tcW w:type="dxa" w:w="1417"/>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145–250</w:t>
            </w:r>
          </w:p>
        </w:tc>
        <w:tc>
          <w:tcPr>
            <w:tcW w:type="dxa" w:w="130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175–285</w:t>
            </w:r>
          </w:p>
        </w:tc>
        <w:tc>
          <w:tcPr>
            <w:tcW w:type="dxa" w:w="96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3–10</w:t>
            </w:r>
          </w:p>
        </w:tc>
        <w:tc>
          <w:tcPr>
            <w:tcW w:type="dxa" w:w="102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40–77</w:t>
            </w:r>
          </w:p>
        </w:tc>
      </w:tr>
      <w:tr>
        <w:tc>
          <w:tcPr>
            <w:tcW w:type="dxa" w:w="85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5xxx</w:t>
            </w:r>
          </w:p>
        </w:tc>
        <w:tc>
          <w:tcPr>
            <w:tcW w:type="dxa" w:w="2438"/>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Mg</w:t>
            </w:r>
          </w:p>
        </w:tc>
        <w:tc>
          <w:tcPr>
            <w:tcW w:type="dxa" w:w="1417"/>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130–310</w:t>
            </w:r>
          </w:p>
        </w:tc>
        <w:tc>
          <w:tcPr>
            <w:tcW w:type="dxa" w:w="130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230–380</w:t>
            </w:r>
          </w:p>
        </w:tc>
        <w:tc>
          <w:tcPr>
            <w:tcW w:type="dxa" w:w="96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8–22</w:t>
            </w:r>
          </w:p>
        </w:tc>
        <w:tc>
          <w:tcPr>
            <w:tcW w:type="dxa" w:w="102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50–100</w:t>
            </w:r>
          </w:p>
        </w:tc>
      </w:tr>
      <w:tr>
        <w:tc>
          <w:tcPr>
            <w:tcW w:type="dxa" w:w="85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6xxx</w:t>
            </w:r>
          </w:p>
        </w:tc>
        <w:tc>
          <w:tcPr>
            <w:tcW w:type="dxa" w:w="2438"/>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Mg + Si</w:t>
            </w:r>
          </w:p>
        </w:tc>
        <w:tc>
          <w:tcPr>
            <w:tcW w:type="dxa" w:w="1417"/>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150–350</w:t>
            </w:r>
          </w:p>
        </w:tc>
        <w:tc>
          <w:tcPr>
            <w:tcW w:type="dxa" w:w="130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195–380</w:t>
            </w:r>
          </w:p>
        </w:tc>
        <w:tc>
          <w:tcPr>
            <w:tcW w:type="dxa" w:w="96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6–20</w:t>
            </w:r>
          </w:p>
        </w:tc>
        <w:tc>
          <w:tcPr>
            <w:tcW w:type="dxa" w:w="102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55–120</w:t>
            </w:r>
          </w:p>
        </w:tc>
      </w:tr>
      <w:tr>
        <w:tc>
          <w:tcPr>
            <w:tcW w:type="dxa" w:w="85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7xxx</w:t>
            </w:r>
          </w:p>
        </w:tc>
        <w:tc>
          <w:tcPr>
            <w:tcW w:type="dxa" w:w="2438"/>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Zn, Mg, Cu</w:t>
            </w:r>
          </w:p>
        </w:tc>
        <w:tc>
          <w:tcPr>
            <w:tcW w:type="dxa" w:w="1417"/>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350–630</w:t>
            </w:r>
          </w:p>
        </w:tc>
        <w:tc>
          <w:tcPr>
            <w:tcW w:type="dxa" w:w="130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460–700</w:t>
            </w:r>
          </w:p>
        </w:tc>
        <w:tc>
          <w:tcPr>
            <w:tcW w:type="dxa" w:w="964"/>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4–13</w:t>
            </w:r>
          </w:p>
        </w:tc>
        <w:tc>
          <w:tcPr>
            <w:tcW w:type="dxa" w:w="1020"/>
            <w:vAlign w:val="center"/>
            <w:tcMar>
              <w:top w:w="70" w:type="dxa"/>
              <w:start w:w="90" w:type="dxa"/>
              <w:bottom w:w="70" w:type="dxa"/>
              <w:end w:w="90" w:type="dxa"/>
            </w:tcMar>
          </w:tcPr>
          <w:p>
            <w:pPr>
              <w:spacing w:before="0" w:after="0" w:line="240" w:lineRule="auto"/>
              <w:jc w:val="center"/>
            </w:pPr>
            <w:r>
              <w:rPr>
                <w:rFonts w:ascii="Times New Roman" w:hAnsi="Times New Roman" w:eastAsia="Times New Roman"/>
                <w:b w:val="0"/>
                <w:i w:val="0"/>
                <w:sz w:val="19"/>
              </w:rPr>
              <w:t>100–175</w:t>
            </w:r>
          </w:p>
        </w:tc>
      </w:tr>
    </w:tbl>
    <w:p>
      <w:pPr>
        <w:keepNext/>
        <w:spacing w:before="60" w:after="60"/>
        <w:ind w:firstLine="562"/>
        <w:jc w:val="both"/>
      </w:pPr>
      <w:r>
        <w:rPr>
          <w:rFonts w:ascii="Times New Roman" w:hAnsi="Times New Roman" w:eastAsia="Times New Roman"/>
          <w:sz w:val="24"/>
        </w:rPr>
        <w:t>Узагальнену схему формування інтегрованого ознакового простору та багатоцільового прогнозування механічних властивостей наведено на рис. 1.</w:t>
      </w:r>
    </w:p>
    <w:p>
      <w:pPr>
        <w:spacing w:before="60" w:after="40"/>
        <w:jc w:val="center"/>
      </w:pPr>
      <w:r>
        <w:rPr>
          <w:rFonts w:ascii="Times New Roman" w:hAnsi="Times New Roman" w:eastAsia="Times New Roman"/>
        </w:rPr>
        <w:drawing>
          <wp:inline xmlns:a="http://schemas.openxmlformats.org/drawingml/2006/main" xmlns:pic="http://schemas.openxmlformats.org/drawingml/2006/picture">
            <wp:extent cx="5715000" cy="2362200"/>
            <wp:docPr id="1" name="Picture 1"/>
            <wp:cNvGraphicFramePr>
              <a:graphicFrameLocks noChangeAspect="1"/>
            </wp:cNvGraphicFramePr>
            <a:graphic>
              <a:graphicData uri="http://schemas.openxmlformats.org/drawingml/2006/picture">
                <pic:pic>
                  <pic:nvPicPr>
                    <pic:cNvPr id="0" name="integrated_feature_space.png"/>
                    <pic:cNvPicPr/>
                  </pic:nvPicPr>
                  <pic:blipFill>
                    <a:blip r:embed="rId10"/>
                    <a:stretch>
                      <a:fillRect/>
                    </a:stretch>
                  </pic:blipFill>
                  <pic:spPr>
                    <a:xfrm>
                      <a:off x="0" y="0"/>
                      <a:ext cx="5715000" cy="2362200"/>
                    </a:xfrm>
                    <a:prstGeom prst="rect"/>
                  </pic:spPr>
                </pic:pic>
              </a:graphicData>
            </a:graphic>
          </wp:inline>
        </w:drawing>
      </w:r>
    </w:p>
    <w:p>
      <w:pPr>
        <w:keepNext/>
        <w:spacing w:before="0" w:after="120"/>
        <w:jc w:val="center"/>
      </w:pPr>
      <w:r>
        <w:rPr>
          <w:rFonts w:ascii="Times New Roman" w:hAnsi="Times New Roman" w:eastAsia="Times New Roman"/>
          <w:sz w:val="22"/>
        </w:rPr>
        <w:t>Рисунок 1 – Схема інтегрованого ознакового простору для багатоцільового прогнозування механічних властивостей алюмінієвих сплавів</w:t>
      </w:r>
    </w:p>
    <w:p>
      <w:pPr>
        <w:spacing w:before="80" w:after="0" w:line="240" w:lineRule="auto"/>
        <w:ind w:firstLine="567"/>
        <w:jc w:val="both"/>
      </w:pPr>
      <w:r>
        <w:rPr>
          <w:rFonts w:ascii="Times New Roman" w:hAnsi="Times New Roman" w:eastAsia="Times New Roman"/>
          <w:b w:val="0"/>
          <w:i w:val="0"/>
          <w:sz w:val="24"/>
        </w:rPr>
        <w:t>Для термічно зміцнюваних сплавів суттєвий внесок у формування міцності забезпечують дисперсійне та зернограничне зміцнення. Зернограничний механізм може бути описаний законом Холла–Петча [5]:</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654"/>
        <w:gridCol w:w="1134"/>
      </w:tblGrid>
      <w:tr>
        <w:tc>
          <w:tcPr>
            <w:tcW w:type="dxa" w:w="4819"/>
            <w:tcMar>
              <w:top w:w="0" w:type="dxa"/>
              <w:start w:w="0" w:type="dxa"/>
              <w:bottom w:w="0" w:type="dxa"/>
              <w:end w:w="0" w:type="dxa"/>
            </w:tcMar>
          </w:tcPr>
          <w:p>
            <w:pPr>
              <w:spacing w:before="40" w:after="40"/>
              <w:jc w:val="center"/>
            </w:pPr>
            <w:r>
              <w:rPr>
                <w:rFonts w:ascii="Times New Roman" w:hAnsi="Times New Roman" w:eastAsia="Times New Roman"/>
                <w:b w:val="0"/>
                <w:i/>
                <w:sz w:val="24"/>
              </w:rPr>
              <w:t>σ</w:t>
            </w:r>
            <w:r>
              <w:rPr>
                <w:rFonts w:ascii="Times New Roman" w:hAnsi="Times New Roman" w:eastAsia="Times New Roman"/>
                <w:b w:val="0"/>
                <w:i/>
                <w:sz w:val="18"/>
                <w:vertAlign w:val="subscript"/>
              </w:rPr>
              <w:t>0.2</w:t>
            </w:r>
            <w:r>
              <w:rPr>
                <w:rFonts w:ascii="Times New Roman" w:hAnsi="Times New Roman" w:eastAsia="Times New Roman"/>
                <w:b w:val="0"/>
                <w:i w:val="0"/>
                <w:sz w:val="24"/>
              </w:rPr>
              <w:t xml:space="preserve"> = </w:t>
            </w:r>
            <w:r>
              <w:rPr>
                <w:rFonts w:ascii="Times New Roman" w:hAnsi="Times New Roman" w:eastAsia="Times New Roman"/>
                <w:b w:val="0"/>
                <w:i/>
                <w:sz w:val="24"/>
              </w:rPr>
              <w:t>σ</w:t>
            </w:r>
            <w:r>
              <w:rPr>
                <w:rFonts w:ascii="Times New Roman" w:hAnsi="Times New Roman" w:eastAsia="Times New Roman"/>
                <w:b w:val="0"/>
                <w:i/>
                <w:sz w:val="18"/>
                <w:vertAlign w:val="subscript"/>
              </w:rPr>
              <w:t>0</w:t>
            </w:r>
            <w:r>
              <w:rPr>
                <w:rFonts w:ascii="Times New Roman" w:hAnsi="Times New Roman" w:eastAsia="Times New Roman"/>
                <w:b w:val="0"/>
                <w:i w:val="0"/>
                <w:sz w:val="24"/>
              </w:rPr>
              <w:t xml:space="preserve"> + </w:t>
            </w:r>
            <w:r>
              <w:rPr>
                <w:rFonts w:ascii="Times New Roman" w:hAnsi="Times New Roman" w:eastAsia="Times New Roman"/>
                <w:b w:val="0"/>
                <w:i/>
                <w:sz w:val="24"/>
              </w:rPr>
              <w:t>k</w:t>
            </w:r>
            <w:r>
              <w:rPr>
                <w:rFonts w:ascii="Times New Roman" w:hAnsi="Times New Roman" w:eastAsia="Times New Roman"/>
                <w:b w:val="0"/>
                <w:i/>
                <w:sz w:val="18"/>
                <w:vertAlign w:val="subscript"/>
              </w:rPr>
              <w:t>HP</w:t>
            </w:r>
            <w:r>
              <w:rPr>
                <w:rFonts w:ascii="Times New Roman" w:hAnsi="Times New Roman" w:eastAsia="Times New Roman"/>
                <w:b w:val="0"/>
                <w:i w:val="0"/>
                <w:sz w:val="24"/>
              </w:rPr>
              <w:t xml:space="preserve"> · </w:t>
            </w:r>
            <w:r>
              <w:rPr>
                <w:rFonts w:ascii="Times New Roman" w:hAnsi="Times New Roman" w:eastAsia="Times New Roman"/>
                <w:b w:val="0"/>
                <w:i/>
                <w:sz w:val="24"/>
              </w:rPr>
              <w:t>d</w:t>
            </w:r>
            <w:r>
              <w:rPr>
                <w:rFonts w:ascii="Times New Roman" w:hAnsi="Times New Roman" w:eastAsia="Times New Roman"/>
                <w:b w:val="0"/>
                <w:i/>
                <w:sz w:val="18"/>
                <w:vertAlign w:val="superscript"/>
              </w:rPr>
              <w:t>−1/2</w:t>
            </w:r>
          </w:p>
        </w:tc>
        <w:tc>
          <w:tcPr>
            <w:tcW w:type="dxa" w:w="4819"/>
            <w:tcMar>
              <w:top w:w="0" w:type="dxa"/>
              <w:start w:w="0" w:type="dxa"/>
              <w:bottom w:w="0" w:type="dxa"/>
              <w:end w:w="0" w:type="dxa"/>
            </w:tcMar>
          </w:tcPr>
          <w:p>
            <w:pPr>
              <w:spacing w:before="40" w:after="40"/>
              <w:jc w:val="right"/>
            </w:pPr>
            <w:r>
              <w:rPr>
                <w:rFonts w:ascii="Times New Roman" w:hAnsi="Times New Roman" w:eastAsia="Times New Roman"/>
                <w:b w:val="0"/>
                <w:i w:val="0"/>
                <w:sz w:val="24"/>
              </w:rPr>
              <w:t>(1)</w:t>
            </w:r>
          </w:p>
        </w:tc>
      </w:tr>
    </w:tbl>
    <w:p>
      <w:pPr>
        <w:spacing w:before="0" w:after="0" w:line="240" w:lineRule="auto"/>
        <w:ind w:firstLine="567"/>
        <w:jc w:val="both"/>
      </w:pPr>
      <w:r>
        <w:rPr>
          <w:rFonts w:ascii="Times New Roman" w:hAnsi="Times New Roman" w:eastAsia="Times New Roman"/>
          <w:b w:val="0"/>
          <w:i w:val="0"/>
          <w:sz w:val="22"/>
        </w:rPr>
        <w:t>де σ₀.₂ – умовна межа текучості; σ₀ – напруження тертя кристалічної ґратки; kHP – коефіцієнт Холла–Петча; d – середній діаметр зерна.</w:t>
      </w:r>
    </w:p>
    <w:p>
      <w:pPr>
        <w:spacing w:before="40" w:after="0" w:line="240" w:lineRule="auto"/>
        <w:ind w:firstLine="567"/>
        <w:jc w:val="both"/>
      </w:pPr>
      <w:r>
        <w:rPr>
          <w:rFonts w:ascii="Times New Roman" w:hAnsi="Times New Roman" w:eastAsia="Times New Roman"/>
          <w:b w:val="0"/>
          <w:i w:val="0"/>
          <w:sz w:val="24"/>
        </w:rPr>
        <w:t>Зменшення розміру зерна приводить до підвищення межі текучості, однак реальні властивості промислових алюмінієвих сплавів визначаються одночасною дією декількох механізмів. Нелінійна взаємодія хімічних, технологічних і мікроструктурних факторів є підставою для застосування нейромережевих моделей, здатних враховувати багатовимірний ознаковий простір.</w:t>
      </w:r>
    </w:p>
    <w:p>
      <w:pPr>
        <w:spacing w:line="240" w:lineRule="auto" w:before="40" w:after="0"/>
        <w:ind w:firstLine="567"/>
        <w:jc w:val="both"/>
      </w:pPr>
      <w:r>
        <w:rPr>
          <w:rFonts w:ascii="Times New Roman" w:hAnsi="Times New Roman" w:eastAsia="Times New Roman"/>
          <w:sz w:val="24"/>
        </w:rPr>
        <w:t>Механічні властивості алюмінієвих сплавів формуються внаслідок сумісної дії кількох механізмів зміцнення. Твердорозчинне зміцнення пов’язане з пружними спотвореннями кристалічної ґратки атомами легуючих елементів; для систем Al–Mg магній є одним із найефективніших твердорозчинних зміцнювачів. Осадове (дисперсійне) зміцнення є визначальним для термічно зміцнюваних серій 2xxx, 6xxx і 7xxx та реалізується через взаємодію дислокацій із дисперсними виділеннями другої фази. Для нетермічно зміцнюваних серій 1xxx, 3xxx і 5xxx суттєвого значення набуває деформаційне зміцнення, що формується внаслідок холодної пластичної деформації [1, 4].</w:t>
      </w:r>
    </w:p>
    <w:p>
      <w:pPr>
        <w:spacing w:line="240" w:lineRule="auto" w:before="40" w:after="0"/>
        <w:ind w:firstLine="567"/>
        <w:jc w:val="both"/>
      </w:pPr>
      <w:r>
        <w:rPr>
          <w:rFonts w:ascii="Times New Roman" w:hAnsi="Times New Roman" w:eastAsia="Times New Roman"/>
          <w:sz w:val="24"/>
        </w:rPr>
        <w:t>Взаємодія зазначених механізмів має нелінійний і взаємозумовлений характер. Один і той самий легуючий елемент залежно від режиму термічного оброблення може перебувати у твердому розчині або входити до складу зміцнювальної фази, що принципово змінює його внесок у механічні властивості. Наприклад, для сплавів серії 7xxx перехід від перестареного стану T73 до пікового старіння T6 забезпечує суттєве підвищення межі текучості, але одночасно супроводжується зменшенням пластичності. Така взаємозалежність властивостей визначає доцільність саме багатоцільового прогнозування, а не побудови окремої моделі для кожного показника.</w:t>
      </w:r>
    </w:p>
    <w:p>
      <w:pPr>
        <w:spacing w:line="240" w:lineRule="auto" w:before="40" w:after="0"/>
        <w:ind w:firstLine="567"/>
        <w:jc w:val="both"/>
      </w:pPr>
      <w:r>
        <w:rPr>
          <w:rFonts w:ascii="Times New Roman" w:hAnsi="Times New Roman" w:eastAsia="Times New Roman"/>
          <w:b/>
          <w:sz w:val="24"/>
        </w:rPr>
        <w:t xml:space="preserve">Традиційні підходи до прогнозування. </w:t>
      </w:r>
      <w:r>
        <w:rPr>
          <w:rFonts w:ascii="Times New Roman" w:hAnsi="Times New Roman" w:eastAsia="Times New Roman"/>
          <w:sz w:val="24"/>
        </w:rPr>
        <w:t>Для оцінювання механічних властивостей застосовують регресійні рівняння, методи планування факторного експерименту та термодинамічні розрахунки типу CALPHAD. Регресійні моделі достатньо коректно відтворюють локальні тренди за варіювання обмеженої кількості факторів, проте їх точність знижується при одночасній зміні хімічного складу, режиму термообробки та мікроструктурних параметрів. CALPHAD дає інформацію про рівноважний фазовий стан і склад фаз, однак без додаткового кінетичного моделювання не визначає реальні розміри та морфологію зміцнювальних виділень у нерівноважних умовах технологічного процесу [1, 3, 4].</w:t>
      </w:r>
    </w:p>
    <w:p>
      <w:pPr>
        <w:spacing w:line="240" w:lineRule="auto" w:before="40" w:after="0"/>
        <w:ind w:firstLine="567"/>
        <w:jc w:val="both"/>
      </w:pPr>
      <w:r>
        <w:rPr>
          <w:rFonts w:ascii="Times New Roman" w:hAnsi="Times New Roman" w:eastAsia="Times New Roman"/>
          <w:b/>
          <w:sz w:val="24"/>
        </w:rPr>
        <w:t xml:space="preserve">Методи машинного навчання. </w:t>
      </w:r>
      <w:r>
        <w:rPr>
          <w:rFonts w:ascii="Times New Roman" w:hAnsi="Times New Roman" w:eastAsia="Times New Roman"/>
          <w:sz w:val="24"/>
        </w:rPr>
        <w:t>У задачах прогнозування властивостей матеріалів застосовуються метод опорних векторів (SVR), ансамблеві алгоритми на основі дерев рішень та штучні нейронні мережі. SVR є ефективним для відносно малих вибірок, тоді як Random Forest і алгоритми градієнтного підсилення забезпечують стійкий базовий рівень точності та дозволяють ранжувати ознаки за їх внеском у прогноз. Разом із тим ансамблеві моделі на основі дерев мають обмеження щодо екстраполяції за межі навчального простору та можуть поступатися нейронним мережам за наявності складних нелінійних крос-кореляцій між ознаками [6, 7].</w:t>
      </w:r>
    </w:p>
    <w:p>
      <w:pPr>
        <w:spacing w:line="240" w:lineRule="auto" w:before="40" w:after="0"/>
        <w:ind w:firstLine="567"/>
        <w:jc w:val="both"/>
      </w:pPr>
      <w:r>
        <w:rPr>
          <w:rFonts w:ascii="Times New Roman" w:hAnsi="Times New Roman" w:eastAsia="Times New Roman"/>
          <w:sz w:val="24"/>
        </w:rPr>
        <w:t>Багатошарові перцептрони (MLP) є доцільним інструментом для інтегрованого аналізу різнорідних даних, оскільки дають змогу одночасно враховувати хімічний склад, технологічні параметри та характеристики мікроструктури. У проаналізованих роботах для окремих серій алюмінієвих сплавів нейромережеві моделі демонструють вищу точність порівняно з традиційними регресійними підходами, особливо за достатнього обсягу навчальної вибірки та наявності нелінійних взаємозалежностей між параметрами [6, 7].</w:t>
      </w:r>
    </w:p>
    <w:p>
      <w:pPr>
        <w:spacing w:line="240" w:lineRule="auto" w:before="40" w:after="0"/>
        <w:ind w:firstLine="567"/>
        <w:jc w:val="both"/>
      </w:pPr>
      <w:r>
        <w:rPr>
          <w:rFonts w:ascii="Times New Roman" w:hAnsi="Times New Roman" w:eastAsia="Times New Roman"/>
          <w:b/>
          <w:sz w:val="24"/>
        </w:rPr>
        <w:t xml:space="preserve">Аналіз існуючих моделей. </w:t>
      </w:r>
      <w:r>
        <w:rPr>
          <w:rFonts w:ascii="Times New Roman" w:hAnsi="Times New Roman" w:eastAsia="Times New Roman"/>
          <w:sz w:val="24"/>
        </w:rPr>
        <w:t>Опрацювання публікацій виявляє кілька системних обмежень. По-перше, більшість моделей орієнтовані на одну серію сплавів і прогнозують лише одну механічну характеристику, переважно межу текучості або тимчасовий опір розриву. Такий підхід не відтворює відомого компромісу «міцність–пластичність». По-друге, вхідний ознаковий простір часто обмежується хімічним складом і станом термічного оброблення, тоді як температура та тривалість старіння, розмір зерна й об’ємна частка зміцнювальних фаз включаються лише в окремих дослідженнях [8, 9].</w:t>
      </w:r>
    </w:p>
    <w:p>
      <w:pPr>
        <w:spacing w:line="240" w:lineRule="auto" w:before="40" w:after="0"/>
        <w:ind w:firstLine="567"/>
        <w:jc w:val="both"/>
      </w:pPr>
      <w:r>
        <w:rPr>
          <w:rFonts w:ascii="Times New Roman" w:hAnsi="Times New Roman" w:eastAsia="Times New Roman"/>
          <w:sz w:val="24"/>
        </w:rPr>
        <w:t>По-третє, поширеною проблемою є відсутність зовнішньої валідації на незалежних лабораторних даних: точність оцінюється на підмножині того самого масиву, на якому виконувалося навчання. По-четверте, пояснюваність прогнозу не завжди є обов’язковою складовою дослідження. Для усунення цього недоліку перспективним є використання SHAP-аналізу, який дає змогу кількісно визначити внесок кожної ознаки в конкретний прогноз і зіставити отриману ієрархію факторів із фізично обґрунтованими механізмами зміцнення [10].</w:t>
      </w:r>
    </w:p>
    <w:p>
      <w:pPr>
        <w:spacing w:line="240" w:lineRule="auto" w:before="40" w:after="0"/>
        <w:ind w:firstLine="567"/>
        <w:jc w:val="both"/>
      </w:pPr>
      <w:r>
        <w:rPr>
          <w:rFonts w:ascii="Times New Roman" w:hAnsi="Times New Roman" w:eastAsia="Times New Roman"/>
          <w:b/>
          <w:sz w:val="24"/>
        </w:rPr>
        <w:t xml:space="preserve">Постановка подальшого дослідження. </w:t>
      </w:r>
      <w:r>
        <w:rPr>
          <w:rFonts w:ascii="Times New Roman" w:hAnsi="Times New Roman" w:eastAsia="Times New Roman"/>
          <w:sz w:val="24"/>
        </w:rPr>
        <w:t>Виявлена науково-методична прогалина визначає необхідність формування репрезентативної бази даних для деформівних алюмінієвих сплавів різних серій із включенням хімічного складу, режимів термічного оброблення та мікроструктурних характеристик. На цій основі доцільно сформувати інтегрований ознаковий простір і розробити багатоцільову MLP-модель для одночасного прогнозування σ₀.₂, σB та δ. Точність моделі має бути зіставлена з ансамблевими алгоритмами, а фізична узгодженість результатів — перевірена із застосуванням SHAP-аналізу та незалежної зовнішньої верифікації.</w:t>
      </w:r>
    </w:p>
    <w:p>
      <w:pPr>
        <w:spacing w:line="240" w:lineRule="auto" w:before="40" w:after="0"/>
        <w:ind w:firstLine="567"/>
        <w:jc w:val="both"/>
      </w:pPr>
      <w:r>
        <w:rPr>
          <w:rFonts w:ascii="Times New Roman" w:hAnsi="Times New Roman" w:eastAsia="Times New Roman"/>
          <w:b/>
          <w:sz w:val="24"/>
        </w:rPr>
        <w:t xml:space="preserve">Пояснюваність прогнозу. </w:t>
      </w:r>
      <w:r>
        <w:rPr>
          <w:rFonts w:ascii="Times New Roman" w:hAnsi="Times New Roman" w:eastAsia="Times New Roman"/>
          <w:b w:val="0"/>
          <w:sz w:val="24"/>
        </w:rPr>
        <w:t>Для матеріалознавчої задачі важливо, щоб висока статистична точність моделі не суперечила фізичним закономірностям формування структури та властивостей. Метод SHAP дає змогу оцінити внесок кожного параметра у прогнозоване значення та зіставити отримані залежності з відомими механізмами зміцнення. У роботах для сплавів 6xxx показано домінуючий вплив сумарного вмісту Mg і Si на варіативність межі текучості, що узгоджується з утворенням зміцнювальних фаз Mg₂Si [10]. Тому SHAP-аналіз доцільно розглядати як складову фізичної верифікації моделі поряд із незалежною перевіркою на лабораторних даних.</w:t>
      </w:r>
    </w:p>
    <w:p>
      <w:pPr>
        <w:spacing w:line="240" w:lineRule="auto" w:before="40" w:after="0"/>
        <w:ind w:firstLine="567"/>
        <w:jc w:val="both"/>
      </w:pPr>
      <w:r>
        <w:rPr>
          <w:rFonts w:ascii="Times New Roman" w:hAnsi="Times New Roman" w:eastAsia="Times New Roman"/>
          <w:b/>
          <w:sz w:val="24"/>
        </w:rPr>
        <w:t xml:space="preserve">Висновки. </w:t>
      </w:r>
      <w:r>
        <w:rPr>
          <w:rFonts w:ascii="Times New Roman" w:hAnsi="Times New Roman" w:eastAsia="Times New Roman"/>
          <w:sz w:val="24"/>
        </w:rPr>
        <w:t>Механічні властивості деформівних алюмінієвих сплавів визначаються складними нелінійними взаємодіями хімічного складу, фазового стану, параметрів термічного оброблення та мікроструктури. Це обмежує можливості універсальних аналітичних залежностей і обґрунтовує застосування методів машинного навчання. Перспективним підходом є інтеграція хімічних, технологічних і мікроструктурних даних в єдиному ознаковому просторі з багатоцільовим прогнозуванням взаємопов’язаних характеристик міцності та пластичності. Запропонована постановка задачі передбачає зовнішню верифікацію моделі й кількісний аналіз пояснюваності, що має забезпечити не лише високу точність прогнозу, а й його фізичну інтерпретованість.</w:t>
      </w:r>
    </w:p>
    <w:p>
      <w:pPr>
        <w:spacing w:before="100" w:after="40" w:line="240" w:lineRule="auto"/>
        <w:jc w:val="center"/>
      </w:pPr>
      <w:r>
        <w:rPr>
          <w:rFonts w:ascii="Times New Roman" w:hAnsi="Times New Roman" w:eastAsia="Times New Roman"/>
          <w:b/>
          <w:sz w:val="24"/>
        </w:rPr>
        <w:t>ЛІТЕРАТУРА</w:t>
      </w:r>
    </w:p>
    <w:p>
      <w:pPr>
        <w:spacing w:line="240" w:lineRule="auto" w:before="0" w:after="0"/>
        <w:jc w:val="both"/>
      </w:pPr>
      <w:r>
        <w:rPr>
          <w:rFonts w:ascii="Times New Roman" w:hAnsi="Times New Roman" w:eastAsia="Times New Roman"/>
          <w:sz w:val="21"/>
        </w:rPr>
        <w:t>1. Polmear I., StJohn D., Nie J.-F., Qian M. Light Alloys: Metallurgy of the Light Metals. 5th ed. Butterworth-Heinemann, 2017.</w:t>
      </w:r>
    </w:p>
    <w:p>
      <w:pPr>
        <w:spacing w:line="240" w:lineRule="auto" w:before="0" w:after="0"/>
        <w:jc w:val="both"/>
      </w:pPr>
      <w:r>
        <w:rPr>
          <w:rFonts w:ascii="Times New Roman" w:hAnsi="Times New Roman" w:eastAsia="Times New Roman"/>
          <w:sz w:val="21"/>
        </w:rPr>
        <w:t>2. National Science and Technology Council. Materials Genome Initiative for Global Competitiveness. OSTP, 2011.</w:t>
      </w:r>
    </w:p>
    <w:p>
      <w:pPr>
        <w:spacing w:line="240" w:lineRule="auto" w:before="0" w:after="0"/>
        <w:jc w:val="both"/>
      </w:pPr>
      <w:r>
        <w:rPr>
          <w:rFonts w:ascii="Times New Roman" w:hAnsi="Times New Roman" w:eastAsia="Times New Roman"/>
          <w:sz w:val="21"/>
        </w:rPr>
        <w:t>3. ASM International. ASM Handbook. Vol. 2: Properties and Selection: Nonferrous Alloys and Special-Purpose Materials. 1990.</w:t>
      </w:r>
    </w:p>
    <w:p>
      <w:pPr>
        <w:spacing w:line="240" w:lineRule="auto" w:before="0" w:after="0"/>
        <w:jc w:val="both"/>
      </w:pPr>
      <w:r>
        <w:rPr>
          <w:rFonts w:ascii="Times New Roman" w:hAnsi="Times New Roman" w:eastAsia="Times New Roman"/>
          <w:sz w:val="21"/>
        </w:rPr>
        <w:t>4. ASM International. ASM Handbook. Vol. 4: Heat Treating. 1991.</w:t>
      </w:r>
    </w:p>
    <w:p>
      <w:pPr>
        <w:spacing w:line="240" w:lineRule="auto" w:before="0" w:after="0"/>
        <w:jc w:val="both"/>
      </w:pPr>
      <w:r>
        <w:rPr>
          <w:rFonts w:ascii="Times New Roman" w:hAnsi="Times New Roman" w:eastAsia="Times New Roman"/>
          <w:sz w:val="21"/>
        </w:rPr>
        <w:t>5. Hall E. O. The deformation and ageing of mild steel. Proceedings of the Physical Society. Section B. 1951. Vol. 64, No. 9. P. 747–753.</w:t>
      </w:r>
    </w:p>
    <w:p>
      <w:pPr>
        <w:spacing w:line="240" w:lineRule="auto" w:before="0" w:after="0"/>
        <w:jc w:val="both"/>
      </w:pPr>
      <w:r>
        <w:rPr>
          <w:rFonts w:ascii="Times New Roman" w:hAnsi="Times New Roman" w:eastAsia="Times New Roman"/>
          <w:sz w:val="21"/>
        </w:rPr>
        <w:t>6. Liu Y., Zhang Z., Zhu W. et al. Machine learning for predicting mechanical properties of age-hardened 7xxx aluminum alloys. Journal of Alloys and Compounds. 2020. Vol. 826. 154019.</w:t>
      </w:r>
    </w:p>
    <w:p>
      <w:pPr>
        <w:spacing w:line="240" w:lineRule="auto" w:before="0" w:after="0"/>
        <w:jc w:val="both"/>
      </w:pPr>
      <w:r>
        <w:rPr>
          <w:rFonts w:ascii="Times New Roman" w:hAnsi="Times New Roman" w:eastAsia="Times New Roman"/>
          <w:sz w:val="21"/>
        </w:rPr>
        <w:t>7. Zhang Y., Tao Z., Zhao J. et al. Prediction of mechanical properties of wrought aluminum alloys by machine learning. Materials Today Communications. 2022. Vol. 32. 104149.</w:t>
      </w:r>
    </w:p>
    <w:p>
      <w:pPr>
        <w:spacing w:line="240" w:lineRule="auto" w:before="0" w:after="0"/>
        <w:jc w:val="both"/>
      </w:pPr>
      <w:r>
        <w:rPr>
          <w:rFonts w:ascii="Times New Roman" w:hAnsi="Times New Roman" w:eastAsia="Times New Roman"/>
          <w:sz w:val="21"/>
        </w:rPr>
        <w:t>8. Li X. et al. Machine-learning-assisted prediction of strength in Al–Mg–Si alloys with process parameters. Materials Science and Engineering A. 2021.</w:t>
      </w:r>
    </w:p>
    <w:p>
      <w:pPr>
        <w:spacing w:line="240" w:lineRule="auto" w:before="0" w:after="0"/>
        <w:jc w:val="both"/>
      </w:pPr>
      <w:r>
        <w:rPr>
          <w:rFonts w:ascii="Times New Roman" w:hAnsi="Times New Roman" w:eastAsia="Times New Roman"/>
          <w:sz w:val="21"/>
        </w:rPr>
        <w:t>9. Wang H. et al. Integrating microstructural descriptors into data-driven prediction of aluminum-alloy mechanical properties. Materials &amp; Design. 2022.</w:t>
      </w:r>
    </w:p>
    <w:p>
      <w:pPr>
        <w:spacing w:line="240" w:lineRule="auto" w:before="0" w:after="0"/>
        <w:jc w:val="both"/>
      </w:pPr>
      <w:r>
        <w:rPr>
          <w:rFonts w:ascii="Times New Roman" w:hAnsi="Times New Roman" w:eastAsia="Times New Roman"/>
          <w:sz w:val="21"/>
        </w:rPr>
        <w:t>10. Lundberg S. M., Lee S.-I. A unified approach to interpreting model predictions. Advances in Neural Information Processing Systems. 2017. Vol. 30.</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оформлення тез</dc:title>
  <dc:subject>Приклад оформлення тез для науково-технічного семінару</dc:subject>
  <dc:creator>НТУ «Дніпровська політехніка»</dc:creator>
  <cp:keywords/>
  <dc:description>generated by python-docx</dc:description>
  <cp:lastModifiedBy/>
  <cp:revision>1</cp:revision>
  <dcterms:created xsi:type="dcterms:W3CDTF">2013-12-23T23:15:00Z</dcterms:created>
  <dcterms:modified xsi:type="dcterms:W3CDTF">2013-12-23T23:15:00Z</dcterms:modified>
  <cp:category/>
</cp:coreProperties>
</file>